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关于下达2023年省级财政衔接推进乡村振兴补助资金（巩固拓展脱贫攻坚成果</w:t>
      </w:r>
      <w:r>
        <w:rPr>
          <w:rFonts w:hint="eastAsia" w:eastAsia="方正小标宋简体" w:cs="Times New Roman"/>
          <w:b w:val="0"/>
          <w:bCs w:val="0"/>
          <w:sz w:val="44"/>
          <w:szCs w:val="44"/>
          <w:lang w:eastAsia="zh-CN"/>
        </w:rPr>
        <w:t>和</w:t>
      </w:r>
      <w:r>
        <w:rPr>
          <w:rFonts w:hint="default" w:ascii="Times New Roman" w:hAnsi="Times New Roman" w:eastAsia="方正小标宋简体" w:cs="Times New Roman"/>
          <w:b w:val="0"/>
          <w:bCs w:val="0"/>
          <w:sz w:val="44"/>
          <w:szCs w:val="44"/>
        </w:rPr>
        <w:t>乡村振兴任务）</w:t>
      </w:r>
      <w:r>
        <w:rPr>
          <w:rFonts w:hint="eastAsia" w:eastAsia="方正小标宋简体" w:cs="Times New Roman"/>
          <w:b w:val="0"/>
          <w:bCs w:val="0"/>
          <w:sz w:val="44"/>
          <w:szCs w:val="44"/>
          <w:lang w:eastAsia="zh-CN"/>
        </w:rPr>
        <w:t>预算</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四川省农业农村厅 关于下达2023年省级财政衔接推进乡村振兴补助资金（巩固拓展脱贫攻坚成果和乡村振兴任务）预算的通知》（川财农〔2023〕109号）精神，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2023年省级财政衔接推进乡村振兴补助资金（巩固拓展脱贫攻坚成果和乡村振兴任务）预算指标如数（详见附件）。</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3</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r>
        <w:rPr>
          <w:rFonts w:hint="eastAsia" w:eastAsia="仿宋_GB2312" w:cs="Times New Roman"/>
          <w:b w:val="0"/>
          <w:bCs w:val="0"/>
          <w:sz w:val="32"/>
          <w:szCs w:val="32"/>
          <w:lang w:eastAsia="zh-CN"/>
        </w:rPr>
        <w:t>并就有关事项通知如下：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一、认真贯彻落实党中央、国务院、省委、省政府、市委、市政府和县委、县政府关于巩固拓展脱贫攻坚成果同乡村振兴有效衔接的决策部署，按照《中央和省级财政衔接推进乡村振兴补助资金管理办法》（川财农〔2021〕36号）、《市级财政衔接推进乡村振兴补助资金管理办法》（泸市财农〔2021〕39号）、</w:t>
      </w:r>
      <w:r>
        <w:rPr>
          <w:rFonts w:hint="default" w:ascii="Times New Roman" w:hAnsi="Times New Roman" w:eastAsia="仿宋_GB2312" w:cs="Times New Roman"/>
          <w:snapToGrid w:val="0"/>
          <w:spacing w:val="6"/>
          <w:kern w:val="2"/>
          <w:sz w:val="32"/>
          <w:szCs w:val="32"/>
          <w:lang w:val="en-US" w:eastAsia="zh-CN" w:bidi="ar-SA"/>
        </w:rPr>
        <w:t>《县级财政衔接推进乡村振兴补助资金管理办法》</w:t>
      </w:r>
      <w:r>
        <w:rPr>
          <w:rFonts w:hint="eastAsia" w:ascii="Times New Roman" w:hAnsi="Times New Roman" w:eastAsia="仿宋_GB2312" w:cs="Times New Roman"/>
          <w:snapToGrid w:val="0"/>
          <w:spacing w:val="6"/>
          <w:kern w:val="2"/>
          <w:sz w:val="32"/>
          <w:szCs w:val="32"/>
          <w:lang w:val="en-US" w:eastAsia="zh-CN" w:bidi="ar-SA"/>
        </w:rPr>
        <w:t>（</w:t>
      </w:r>
      <w:r>
        <w:rPr>
          <w:rFonts w:hint="default" w:ascii="Times New Roman" w:hAnsi="Times New Roman" w:eastAsia="仿宋_GB2312" w:cs="Times New Roman"/>
          <w:snapToGrid w:val="0"/>
          <w:spacing w:val="6"/>
          <w:kern w:val="2"/>
          <w:sz w:val="32"/>
          <w:szCs w:val="32"/>
          <w:lang w:val="en-US" w:eastAsia="zh-CN" w:bidi="ar-SA"/>
        </w:rPr>
        <w:t>泸县财</w:t>
      </w:r>
      <w:r>
        <w:rPr>
          <w:rFonts w:hint="eastAsia" w:ascii="Times New Roman" w:hAnsi="Times New Roman" w:eastAsia="仿宋_GB2312" w:cs="Times New Roman"/>
          <w:snapToGrid w:val="0"/>
          <w:spacing w:val="6"/>
          <w:kern w:val="2"/>
          <w:sz w:val="32"/>
          <w:szCs w:val="32"/>
          <w:lang w:val="en-US" w:eastAsia="zh-CN" w:bidi="ar-SA"/>
        </w:rPr>
        <w:t>农</w:t>
      </w:r>
      <w:r>
        <w:rPr>
          <w:rFonts w:hint="default" w:ascii="Times New Roman" w:hAnsi="Times New Roman" w:eastAsia="仿宋_GB2312" w:cs="Times New Roman"/>
          <w:snapToGrid w:val="0"/>
          <w:spacing w:val="6"/>
          <w:kern w:val="2"/>
          <w:sz w:val="32"/>
          <w:szCs w:val="32"/>
          <w:lang w:val="en-US" w:eastAsia="zh-CN" w:bidi="ar-SA"/>
        </w:rPr>
        <w:t>〔202</w:t>
      </w:r>
      <w:r>
        <w:rPr>
          <w:rFonts w:hint="eastAsia" w:ascii="Times New Roman" w:hAnsi="Times New Roman" w:eastAsia="仿宋_GB2312" w:cs="Times New Roman"/>
          <w:snapToGrid w:val="0"/>
          <w:spacing w:val="6"/>
          <w:kern w:val="2"/>
          <w:sz w:val="32"/>
          <w:szCs w:val="32"/>
          <w:lang w:val="en-US" w:eastAsia="zh-CN" w:bidi="ar-SA"/>
        </w:rPr>
        <w:t>1</w:t>
      </w:r>
      <w:r>
        <w:rPr>
          <w:rFonts w:hint="default" w:ascii="Times New Roman" w:hAnsi="Times New Roman" w:eastAsia="仿宋_GB2312" w:cs="Times New Roman"/>
          <w:snapToGrid w:val="0"/>
          <w:spacing w:val="6"/>
          <w:kern w:val="2"/>
          <w:sz w:val="32"/>
          <w:szCs w:val="32"/>
          <w:lang w:val="en-US" w:eastAsia="zh-CN" w:bidi="ar-SA"/>
        </w:rPr>
        <w:t>〕</w:t>
      </w:r>
      <w:r>
        <w:rPr>
          <w:rFonts w:hint="eastAsia" w:ascii="Times New Roman" w:hAnsi="Times New Roman" w:eastAsia="仿宋_GB2312" w:cs="Times New Roman"/>
          <w:snapToGrid w:val="0"/>
          <w:spacing w:val="6"/>
          <w:kern w:val="2"/>
          <w:sz w:val="32"/>
          <w:szCs w:val="32"/>
          <w:lang w:val="en-US" w:eastAsia="zh-CN" w:bidi="ar-SA"/>
        </w:rPr>
        <w:t>8</w:t>
      </w:r>
      <w:r>
        <w:rPr>
          <w:rFonts w:hint="default" w:ascii="Times New Roman" w:hAnsi="Times New Roman" w:eastAsia="仿宋_GB2312" w:cs="Times New Roman"/>
          <w:snapToGrid w:val="0"/>
          <w:spacing w:val="6"/>
          <w:kern w:val="2"/>
          <w:sz w:val="32"/>
          <w:szCs w:val="32"/>
          <w:lang w:val="en-US" w:eastAsia="zh-CN" w:bidi="ar-SA"/>
        </w:rPr>
        <w:t>号</w:t>
      </w:r>
      <w:r>
        <w:rPr>
          <w:rFonts w:hint="eastAsia" w:ascii="Times New Roman" w:hAnsi="Times New Roman" w:eastAsia="仿宋_GB2312" w:cs="Times New Roman"/>
          <w:snapToGrid w:val="0"/>
          <w:spacing w:val="6"/>
          <w:kern w:val="2"/>
          <w:sz w:val="32"/>
          <w:szCs w:val="32"/>
          <w:lang w:val="en-US" w:eastAsia="zh-CN" w:bidi="ar-SA"/>
        </w:rPr>
        <w:t>）等制度要求，切实管好用好资金，充分发挥资金使用效益。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二、扎实做好项目储备等前期工作，认真编制项目实施方案，在规定时间内备案。衔接资金支持的项目，原则上要从巩固拓展脱贫攻坚成果和乡村振兴项目库中选择。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三、加强预算绩效管理。做好绩效目标监控和绩效评价，切实提高财政资金使用效益，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eastAsia" w:eastAsia="仿宋_GB2312"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960" w:leftChars="0" w:right="0" w:hanging="960" w:hangingChars="300"/>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附件：2023年省级财政衔接推进乡村振兴补助资金（巩固拓展脱贫攻坚成果和乡村振兴任务）预算分配表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572324"/>
    <w:rsid w:val="0F755B68"/>
    <w:rsid w:val="13D8201C"/>
    <w:rsid w:val="1D660677"/>
    <w:rsid w:val="1EF6583D"/>
    <w:rsid w:val="1FBC42D4"/>
    <w:rsid w:val="21C84C37"/>
    <w:rsid w:val="252A11EE"/>
    <w:rsid w:val="265A72ED"/>
    <w:rsid w:val="26703219"/>
    <w:rsid w:val="2801755A"/>
    <w:rsid w:val="29FF429C"/>
    <w:rsid w:val="2A0A1A8C"/>
    <w:rsid w:val="2A205736"/>
    <w:rsid w:val="2AF00025"/>
    <w:rsid w:val="2CA74E97"/>
    <w:rsid w:val="2CCA1B64"/>
    <w:rsid w:val="2F925C86"/>
    <w:rsid w:val="3010626B"/>
    <w:rsid w:val="3170536E"/>
    <w:rsid w:val="33FB3042"/>
    <w:rsid w:val="37FE5E92"/>
    <w:rsid w:val="391628E0"/>
    <w:rsid w:val="3AA32F41"/>
    <w:rsid w:val="3EEC7240"/>
    <w:rsid w:val="3F8B79B2"/>
    <w:rsid w:val="40F50C94"/>
    <w:rsid w:val="44C86A3A"/>
    <w:rsid w:val="4B6E792B"/>
    <w:rsid w:val="4C4B1BB0"/>
    <w:rsid w:val="4DFE211A"/>
    <w:rsid w:val="501268CA"/>
    <w:rsid w:val="51C05ACA"/>
    <w:rsid w:val="51D47871"/>
    <w:rsid w:val="526145A7"/>
    <w:rsid w:val="55C33758"/>
    <w:rsid w:val="56747B17"/>
    <w:rsid w:val="58061A24"/>
    <w:rsid w:val="594D67BD"/>
    <w:rsid w:val="5B120E79"/>
    <w:rsid w:val="5D971E61"/>
    <w:rsid w:val="64DC6BF4"/>
    <w:rsid w:val="69223287"/>
    <w:rsid w:val="69D669A8"/>
    <w:rsid w:val="6A1D6ACD"/>
    <w:rsid w:val="6DED179D"/>
    <w:rsid w:val="6F055199"/>
    <w:rsid w:val="73BD0CE3"/>
    <w:rsid w:val="750B4C31"/>
    <w:rsid w:val="7A5029FE"/>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2</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2023-11-03T07:10:00Z</cp:lastPrinted>
  <dcterms:modified xsi:type="dcterms:W3CDTF">2024-05-22T03:29:27Z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